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28" w:rsidRPr="00DE6EF1" w:rsidRDefault="00BE6A28" w:rsidP="00BE6A28">
      <w:pPr>
        <w:jc w:val="both"/>
        <w:rPr>
          <w:b/>
          <w:bCs/>
          <w:smallCaps/>
          <w:sz w:val="28"/>
        </w:rPr>
      </w:pPr>
      <w:r w:rsidRPr="00DE6EF1">
        <w:rPr>
          <w:b/>
          <w:bCs/>
          <w:smallCaps/>
          <w:sz w:val="32"/>
        </w:rPr>
        <w:t>Magistrate’s Admonitions Under CCP §15.17, Probable Cause Order &amp; Order Setting Bond</w:t>
      </w:r>
    </w:p>
    <w:p w:rsidR="00BE6A28" w:rsidRPr="00882471" w:rsidRDefault="00BE6A28" w:rsidP="00BE6A28">
      <w:pPr>
        <w:jc w:val="both"/>
        <w:rPr>
          <w:sz w:val="14"/>
        </w:rPr>
      </w:pPr>
    </w:p>
    <w:tbl>
      <w:tblPr>
        <w:tblW w:w="0" w:type="auto"/>
        <w:tblInd w:w="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8199"/>
      </w:tblGrid>
      <w:tr w:rsidR="00BE6A28" w:rsidRPr="00DE6EF1" w:rsidTr="00F85589">
        <w:trPr>
          <w:cantSplit/>
        </w:trPr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BE6A28" w:rsidRPr="00DE6EF1" w:rsidRDefault="00BE6A28" w:rsidP="00F85589">
            <w:pPr>
              <w:spacing w:before="84" w:after="32"/>
              <w:rPr>
                <w:sz w:val="22"/>
              </w:rPr>
            </w:pPr>
            <w:r w:rsidRPr="00DE6EF1">
              <w:rPr>
                <w:sz w:val="22"/>
                <w:u w:val="single"/>
              </w:rPr>
              <w:t>Date:</w:t>
            </w:r>
          </w:p>
        </w:tc>
        <w:tc>
          <w:tcPr>
            <w:tcW w:w="8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BE6A28" w:rsidRPr="00DE6EF1" w:rsidRDefault="00BE6A28" w:rsidP="00F85589">
            <w:pPr>
              <w:spacing w:before="84" w:after="32"/>
              <w:rPr>
                <w:sz w:val="22"/>
              </w:rPr>
            </w:pPr>
          </w:p>
        </w:tc>
      </w:tr>
      <w:tr w:rsidR="00BE6A28" w:rsidRPr="00DE6EF1" w:rsidTr="00F85589">
        <w:trPr>
          <w:cantSplit/>
        </w:trPr>
        <w:tc>
          <w:tcPr>
            <w:tcW w:w="127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BE6A28" w:rsidRPr="00DE6EF1" w:rsidRDefault="00BE6A28" w:rsidP="00F85589">
            <w:pPr>
              <w:spacing w:before="84" w:after="32"/>
              <w:rPr>
                <w:sz w:val="22"/>
              </w:rPr>
            </w:pPr>
            <w:r w:rsidRPr="00DE6EF1">
              <w:rPr>
                <w:sz w:val="22"/>
                <w:u w:val="single"/>
              </w:rPr>
              <w:t>Time: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</w:tcPr>
          <w:p w:rsidR="00BE6A28" w:rsidRPr="00DE6EF1" w:rsidRDefault="00BE6A28" w:rsidP="00F85589">
            <w:pPr>
              <w:spacing w:before="84" w:after="32"/>
              <w:rPr>
                <w:sz w:val="22"/>
              </w:rPr>
            </w:pPr>
          </w:p>
        </w:tc>
      </w:tr>
      <w:tr w:rsidR="00BE6A28" w:rsidRPr="00DE6EF1" w:rsidTr="00F85589">
        <w:trPr>
          <w:cantSplit/>
        </w:trPr>
        <w:tc>
          <w:tcPr>
            <w:tcW w:w="1278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BE6A28" w:rsidRPr="00DE6EF1" w:rsidRDefault="00BE6A28" w:rsidP="00F85589">
            <w:pPr>
              <w:spacing w:before="84" w:after="32"/>
              <w:rPr>
                <w:sz w:val="22"/>
              </w:rPr>
            </w:pPr>
            <w:r w:rsidRPr="00DE6EF1">
              <w:rPr>
                <w:sz w:val="22"/>
                <w:u w:val="single"/>
              </w:rPr>
              <w:t>Defendant: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BE6A28" w:rsidRPr="00DE6EF1" w:rsidRDefault="00BE6A28" w:rsidP="00F85589">
            <w:pPr>
              <w:spacing w:before="84" w:after="32"/>
              <w:rPr>
                <w:b/>
                <w:sz w:val="22"/>
              </w:rPr>
            </w:pPr>
          </w:p>
        </w:tc>
      </w:tr>
      <w:tr w:rsidR="00BE6A28" w:rsidRPr="00DE6EF1" w:rsidTr="00F85589">
        <w:trPr>
          <w:cantSplit/>
        </w:trPr>
        <w:tc>
          <w:tcPr>
            <w:tcW w:w="127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BE6A28" w:rsidRPr="00DE6EF1" w:rsidRDefault="00BE6A28" w:rsidP="00F85589">
            <w:pPr>
              <w:spacing w:before="84" w:after="32"/>
              <w:rPr>
                <w:sz w:val="22"/>
              </w:rPr>
            </w:pPr>
            <w:r w:rsidRPr="00DE6EF1">
              <w:rPr>
                <w:sz w:val="22"/>
                <w:u w:val="single"/>
              </w:rPr>
              <w:t>Charge:</w:t>
            </w:r>
          </w:p>
        </w:tc>
        <w:tc>
          <w:tcPr>
            <w:tcW w:w="8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0" w:type="dxa"/>
              <w:bottom w:w="0" w:type="dxa"/>
              <w:right w:w="110" w:type="dxa"/>
            </w:tcMar>
            <w:hideMark/>
          </w:tcPr>
          <w:p w:rsidR="00BE6A28" w:rsidRPr="00DE6EF1" w:rsidRDefault="00BE6A28" w:rsidP="00F85589">
            <w:pPr>
              <w:spacing w:before="84" w:after="32"/>
              <w:rPr>
                <w:sz w:val="22"/>
              </w:rPr>
            </w:pPr>
            <w:bookmarkStart w:id="0" w:name="_GoBack"/>
            <w:bookmarkEnd w:id="0"/>
            <w:r>
              <w:rPr>
                <w:sz w:val="22"/>
              </w:rPr>
              <w:t xml:space="preserve"> </w:t>
            </w:r>
          </w:p>
        </w:tc>
      </w:tr>
    </w:tbl>
    <w:p w:rsidR="00BE6A28" w:rsidRPr="00882471" w:rsidRDefault="00BE6A28" w:rsidP="00BE6A28">
      <w:pPr>
        <w:rPr>
          <w:sz w:val="10"/>
        </w:rPr>
      </w:pPr>
    </w:p>
    <w:p w:rsidR="00BE6A28" w:rsidRPr="00DE6EF1" w:rsidRDefault="00BE6A28" w:rsidP="00BE6A28">
      <w:pPr>
        <w:rPr>
          <w:sz w:val="22"/>
        </w:rPr>
      </w:pPr>
      <w:r w:rsidRPr="00DE6EF1">
        <w:rPr>
          <w:sz w:val="22"/>
        </w:rPr>
        <w:t xml:space="preserve">The undersigned Magistrate determined if Defendant could understand English or if Defendant was deaf, </w:t>
      </w:r>
      <w:proofErr w:type="gramStart"/>
      <w:r w:rsidRPr="00DE6EF1">
        <w:rPr>
          <w:sz w:val="22"/>
        </w:rPr>
        <w:t>then</w:t>
      </w:r>
      <w:proofErr w:type="gramEnd"/>
      <w:r w:rsidRPr="00DE6EF1">
        <w:rPr>
          <w:sz w:val="22"/>
        </w:rPr>
        <w:t xml:space="preserve"> in clear language informed Defendant of the following in a manner consistent with Code of Crim. Procedure Articles 38.30 and 38.31. </w:t>
      </w:r>
    </w:p>
    <w:p w:rsidR="00BE6A28" w:rsidRPr="00882471" w:rsidRDefault="00BE6A28" w:rsidP="00BE6A28">
      <w:pPr>
        <w:rPr>
          <w:sz w:val="8"/>
        </w:rPr>
      </w:pPr>
    </w:p>
    <w:p w:rsidR="00BE6A28" w:rsidRPr="00DE6EF1" w:rsidRDefault="00BE6A28" w:rsidP="00BE6A28">
      <w:pPr>
        <w:rPr>
          <w:sz w:val="22"/>
        </w:rPr>
      </w:pPr>
      <w:r w:rsidRPr="00DE6EF1">
        <w:rPr>
          <w:b/>
          <w:bCs/>
          <w:sz w:val="22"/>
          <w:u w:val="single"/>
        </w:rPr>
        <w:t>Admonishments:</w:t>
      </w:r>
      <w:r w:rsidRPr="00DE6EF1">
        <w:rPr>
          <w:sz w:val="22"/>
        </w:rPr>
        <w:t xml:space="preserve"> The Magistrate informed Defendant</w:t>
      </w:r>
    </w:p>
    <w:p w:rsidR="00BE6A28" w:rsidRPr="00DE6EF1" w:rsidRDefault="00BE6A28" w:rsidP="00BE6A28">
      <w:pPr>
        <w:rPr>
          <w:sz w:val="22"/>
        </w:rPr>
      </w:pP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 </w:t>
      </w:r>
      <w:proofErr w:type="gramStart"/>
      <w:r w:rsidRPr="00DE6EF1">
        <w:rPr>
          <w:sz w:val="22"/>
        </w:rPr>
        <w:t>of</w:t>
      </w:r>
      <w:proofErr w:type="gramEnd"/>
      <w:r w:rsidRPr="00DE6EF1">
        <w:rPr>
          <w:sz w:val="22"/>
        </w:rPr>
        <w:t xml:space="preserve"> the accusation against Defendant (as indicated above under “Charge”) and of any affidavit filed therewith; </w:t>
      </w:r>
    </w:p>
    <w:p w:rsidR="00BE6A28" w:rsidRPr="00DE6EF1" w:rsidRDefault="00BE6A28" w:rsidP="00BE6A28">
      <w:pPr>
        <w:rPr>
          <w:sz w:val="22"/>
        </w:rPr>
      </w:pP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 of Defendant’s right to retain counsel;</w:t>
      </w:r>
    </w:p>
    <w:p w:rsidR="00BE6A28" w:rsidRPr="00DE6EF1" w:rsidRDefault="00BE6A28" w:rsidP="00BE6A28">
      <w:pPr>
        <w:rPr>
          <w:sz w:val="22"/>
        </w:rPr>
      </w:pP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 of Defendant’s right to request the appointment of counsel if Defendant is indigent and cannot afford counsel;</w:t>
      </w:r>
    </w:p>
    <w:p w:rsidR="00BE6A28" w:rsidRPr="00DE6EF1" w:rsidRDefault="00BE6A28" w:rsidP="00BE6A28">
      <w:pPr>
        <w:rPr>
          <w:sz w:val="22"/>
        </w:rPr>
      </w:pP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 </w:t>
      </w:r>
      <w:proofErr w:type="gramStart"/>
      <w:r w:rsidRPr="00DE6EF1">
        <w:rPr>
          <w:sz w:val="22"/>
        </w:rPr>
        <w:t>of</w:t>
      </w:r>
      <w:proofErr w:type="gramEnd"/>
      <w:r w:rsidRPr="00DE6EF1">
        <w:rPr>
          <w:sz w:val="22"/>
        </w:rPr>
        <w:t xml:space="preserve"> the procedures for requesting appointment of counsel;</w:t>
      </w:r>
    </w:p>
    <w:p w:rsidR="00BE6A28" w:rsidRPr="00DE6EF1" w:rsidRDefault="00BE6A28" w:rsidP="00BE6A28">
      <w:pPr>
        <w:rPr>
          <w:sz w:val="22"/>
        </w:rPr>
      </w:pP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 of Defendant’s right to remain silent;</w:t>
      </w:r>
    </w:p>
    <w:p w:rsidR="00BE6A28" w:rsidRPr="00DE6EF1" w:rsidRDefault="00BE6A28" w:rsidP="00BE6A28">
      <w:pPr>
        <w:rPr>
          <w:sz w:val="22"/>
        </w:rPr>
      </w:pP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 </w:t>
      </w:r>
      <w:proofErr w:type="gramStart"/>
      <w:r w:rsidRPr="00DE6EF1">
        <w:rPr>
          <w:sz w:val="22"/>
        </w:rPr>
        <w:t>that</w:t>
      </w:r>
      <w:proofErr w:type="gramEnd"/>
      <w:r w:rsidRPr="00DE6EF1">
        <w:rPr>
          <w:sz w:val="22"/>
        </w:rPr>
        <w:t xml:space="preserve"> Defendant is not required to make a statement and that any statement made by Defendant may be used against       Defendant. </w:t>
      </w:r>
    </w:p>
    <w:p w:rsidR="00BE6A28" w:rsidRPr="00DE6EF1" w:rsidRDefault="00BE6A28" w:rsidP="00BE6A28">
      <w:pPr>
        <w:rPr>
          <w:sz w:val="22"/>
        </w:rPr>
      </w:pP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 of Defendant’s right to have an attorney present during any interview with peace officers or attorneys representing the State;</w:t>
      </w:r>
    </w:p>
    <w:p w:rsidR="00BE6A28" w:rsidRPr="00DE6EF1" w:rsidRDefault="00BE6A28" w:rsidP="00BE6A28">
      <w:pPr>
        <w:rPr>
          <w:sz w:val="22"/>
        </w:rPr>
      </w:pP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 of Defendant’s right to terminate the interview at any time; </w:t>
      </w:r>
    </w:p>
    <w:p w:rsidR="00BE6A28" w:rsidRPr="00DE6EF1" w:rsidRDefault="00BE6A28" w:rsidP="00BE6A28">
      <w:pPr>
        <w:rPr>
          <w:sz w:val="22"/>
        </w:rPr>
      </w:pP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 of Defendant’s right to have an examining trial;</w:t>
      </w:r>
    </w:p>
    <w:p w:rsidR="00BE6A28" w:rsidRPr="00DE6EF1" w:rsidRDefault="00BE6A28" w:rsidP="00BE6A28">
      <w:pPr>
        <w:rPr>
          <w:sz w:val="22"/>
        </w:rPr>
      </w:pP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 </w:t>
      </w:r>
      <w:proofErr w:type="gramStart"/>
      <w:r w:rsidRPr="00DE6EF1">
        <w:rPr>
          <w:sz w:val="22"/>
        </w:rPr>
        <w:t>that</w:t>
      </w:r>
      <w:proofErr w:type="gramEnd"/>
      <w:r w:rsidRPr="00DE6EF1">
        <w:rPr>
          <w:sz w:val="22"/>
        </w:rPr>
        <w:t xml:space="preserve"> if Defendant is not a citizen of the United States Defendant may request that the Magistrate contact Defendant’s country.</w:t>
      </w:r>
    </w:p>
    <w:p w:rsidR="00BE6A28" w:rsidRPr="00DE6EF1" w:rsidRDefault="00BE6A28" w:rsidP="00BE6A28">
      <w:pPr>
        <w:rPr>
          <w:sz w:val="22"/>
        </w:rPr>
      </w:pPr>
    </w:p>
    <w:p w:rsidR="00BE6A28" w:rsidRPr="00DE6EF1" w:rsidRDefault="00BE6A28" w:rsidP="00BE6A28">
      <w:pPr>
        <w:rPr>
          <w:sz w:val="22"/>
        </w:rPr>
      </w:pPr>
      <w:r w:rsidRPr="00DE6EF1">
        <w:rPr>
          <w:b/>
          <w:bCs/>
          <w:sz w:val="22"/>
          <w:u w:val="single"/>
        </w:rPr>
        <w:t>Request for Attorney:</w:t>
      </w:r>
      <w:r w:rsidRPr="00DE6EF1">
        <w:rPr>
          <w:sz w:val="22"/>
        </w:rPr>
        <w:t>  The undersigned Magistrate asked Defendant if Defendant wanted to request the Judge to appoint an attorney.  The Defendant:</w:t>
      </w:r>
    </w:p>
    <w:p w:rsidR="00BE6A28" w:rsidRPr="00DE6EF1" w:rsidRDefault="00BE6A28" w:rsidP="00BE6A28">
      <w:pPr>
        <w:ind w:left="1440" w:hanging="1440"/>
        <w:rPr>
          <w:sz w:val="22"/>
        </w:rPr>
      </w:pPr>
      <w:r w:rsidRPr="00DE6EF1">
        <w:rPr>
          <w:sz w:val="22"/>
        </w:rPr>
        <w:t xml:space="preserve">                                </w:t>
      </w: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            </w:t>
      </w:r>
      <w:proofErr w:type="gramStart"/>
      <w:r w:rsidRPr="00DE6EF1">
        <w:rPr>
          <w:sz w:val="22"/>
        </w:rPr>
        <w:t>Does</w:t>
      </w:r>
      <w:proofErr w:type="gramEnd"/>
      <w:r w:rsidRPr="00DE6EF1">
        <w:rPr>
          <w:sz w:val="22"/>
        </w:rPr>
        <w:t xml:space="preserve"> not want to request the appointment of an attorney at this time.</w:t>
      </w:r>
    </w:p>
    <w:p w:rsidR="00BE6A28" w:rsidRDefault="00BE6A28" w:rsidP="00BE6A28">
      <w:pPr>
        <w:ind w:left="1440" w:hanging="1440"/>
        <w:contextualSpacing/>
        <w:rPr>
          <w:sz w:val="22"/>
        </w:rPr>
      </w:pPr>
      <w:r w:rsidRPr="00DE6EF1">
        <w:rPr>
          <w:sz w:val="22"/>
        </w:rPr>
        <w:t xml:space="preserve">                                </w:t>
      </w:r>
      <w:r w:rsidRPr="00DE6EF1">
        <w:rPr>
          <w:sz w:val="32"/>
          <w:szCs w:val="28"/>
        </w:rPr>
        <w:t>□</w:t>
      </w:r>
      <w:r w:rsidRPr="00DE6EF1">
        <w:rPr>
          <w:sz w:val="22"/>
        </w:rPr>
        <w:t xml:space="preserve">            </w:t>
      </w:r>
      <w:proofErr w:type="gramStart"/>
      <w:r w:rsidRPr="00DE6EF1">
        <w:rPr>
          <w:sz w:val="22"/>
        </w:rPr>
        <w:t>Does</w:t>
      </w:r>
      <w:proofErr w:type="gramEnd"/>
      <w:r w:rsidRPr="00DE6EF1">
        <w:rPr>
          <w:sz w:val="22"/>
        </w:rPr>
        <w:t xml:space="preserve"> want to request the appointment of an attorney, and the undersigned provided Defendant the forms necessary to request appointment of an attorney and provided reasonable assistance to complete the forms.</w:t>
      </w:r>
    </w:p>
    <w:p w:rsidR="00BE6A28" w:rsidRDefault="00BE6A28" w:rsidP="00BE6A28">
      <w:pPr>
        <w:ind w:left="1440" w:hanging="1440"/>
        <w:contextualSpacing/>
        <w:rPr>
          <w:sz w:val="22"/>
        </w:rPr>
      </w:pPr>
    </w:p>
    <w:tbl>
      <w:tblPr>
        <w:tblpPr w:leftFromText="180" w:rightFromText="180" w:vertAnchor="text" w:horzAnchor="margin" w:tblpY="70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5"/>
        <w:gridCol w:w="4984"/>
      </w:tblGrid>
      <w:tr w:rsidR="00BE6A28" w:rsidRPr="00DE6EF1" w:rsidTr="00F85589">
        <w:trPr>
          <w:cantSplit/>
        </w:trPr>
        <w:tc>
          <w:tcPr>
            <w:tcW w:w="4495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BE6A28" w:rsidRPr="00DE6EF1" w:rsidRDefault="00BE6A28" w:rsidP="00F85589">
            <w:pPr>
              <w:spacing w:before="99"/>
              <w:contextualSpacing/>
              <w:rPr>
                <w:sz w:val="22"/>
              </w:rPr>
            </w:pPr>
            <w:r w:rsidRPr="00DE6EF1">
              <w:rPr>
                <w:sz w:val="22"/>
              </w:rPr>
              <w:t>___________________________________</w:t>
            </w:r>
          </w:p>
          <w:p w:rsidR="00BE6A28" w:rsidRPr="00DE6EF1" w:rsidRDefault="00BE6A28" w:rsidP="00F85589">
            <w:pPr>
              <w:spacing w:after="47"/>
              <w:contextualSpacing/>
              <w:rPr>
                <w:sz w:val="22"/>
              </w:rPr>
            </w:pPr>
            <w:r w:rsidRPr="00DE6EF1">
              <w:rPr>
                <w:sz w:val="22"/>
              </w:rPr>
              <w:t>Date Signed</w:t>
            </w:r>
          </w:p>
        </w:tc>
        <w:tc>
          <w:tcPr>
            <w:tcW w:w="49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</w:tcPr>
          <w:p w:rsidR="00BE6A28" w:rsidRPr="00DE6EF1" w:rsidRDefault="00BE6A28" w:rsidP="00F85589">
            <w:pPr>
              <w:spacing w:before="99"/>
              <w:contextualSpacing/>
              <w:rPr>
                <w:sz w:val="22"/>
              </w:rPr>
            </w:pPr>
            <w:r w:rsidRPr="00DE6EF1">
              <w:rPr>
                <w:sz w:val="22"/>
              </w:rPr>
              <w:t>I acknowledge that I have received the foregoing information.</w:t>
            </w:r>
          </w:p>
          <w:p w:rsidR="00BE6A28" w:rsidRPr="00DE6EF1" w:rsidRDefault="00BE6A28" w:rsidP="00F85589">
            <w:pPr>
              <w:spacing w:after="47"/>
              <w:contextualSpacing/>
              <w:rPr>
                <w:sz w:val="22"/>
              </w:rPr>
            </w:pPr>
          </w:p>
        </w:tc>
      </w:tr>
      <w:tr w:rsidR="00BE6A28" w:rsidRPr="00DE6EF1" w:rsidTr="00F85589">
        <w:trPr>
          <w:cantSplit/>
        </w:trPr>
        <w:tc>
          <w:tcPr>
            <w:tcW w:w="44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BE6A28" w:rsidRPr="00DE6EF1" w:rsidRDefault="00BE6A28" w:rsidP="00F85589">
            <w:pPr>
              <w:spacing w:before="99"/>
              <w:contextualSpacing/>
              <w:rPr>
                <w:sz w:val="22"/>
              </w:rPr>
            </w:pPr>
            <w:r w:rsidRPr="00DE6EF1">
              <w:rPr>
                <w:sz w:val="22"/>
              </w:rPr>
              <w:t>______________________________________</w:t>
            </w:r>
          </w:p>
          <w:p w:rsidR="00BE6A28" w:rsidRPr="00DE6EF1" w:rsidRDefault="00BE6A28" w:rsidP="00F85589">
            <w:pPr>
              <w:spacing w:after="47"/>
              <w:contextualSpacing/>
              <w:rPr>
                <w:sz w:val="22"/>
              </w:rPr>
            </w:pPr>
            <w:r w:rsidRPr="00DE6EF1">
              <w:rPr>
                <w:sz w:val="22"/>
              </w:rPr>
              <w:t xml:space="preserve">Magistrate 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9" w:type="dxa"/>
              <w:bottom w:w="0" w:type="dxa"/>
              <w:right w:w="119" w:type="dxa"/>
            </w:tcMar>
            <w:hideMark/>
          </w:tcPr>
          <w:p w:rsidR="00BE6A28" w:rsidRPr="00DE6EF1" w:rsidRDefault="00BE6A28" w:rsidP="00F85589">
            <w:pPr>
              <w:spacing w:before="99"/>
              <w:contextualSpacing/>
              <w:rPr>
                <w:sz w:val="22"/>
              </w:rPr>
            </w:pPr>
            <w:r w:rsidRPr="00DE6EF1">
              <w:rPr>
                <w:sz w:val="22"/>
              </w:rPr>
              <w:t>___________________________________________</w:t>
            </w:r>
          </w:p>
          <w:p w:rsidR="00BE6A28" w:rsidRPr="00DE6EF1" w:rsidRDefault="00BE6A28" w:rsidP="00F85589">
            <w:pPr>
              <w:spacing w:after="47"/>
              <w:contextualSpacing/>
              <w:rPr>
                <w:sz w:val="22"/>
              </w:rPr>
            </w:pPr>
            <w:r w:rsidRPr="00DE6EF1">
              <w:rPr>
                <w:sz w:val="22"/>
              </w:rPr>
              <w:t>Defendant’s Signature</w:t>
            </w:r>
          </w:p>
        </w:tc>
      </w:tr>
    </w:tbl>
    <w:p w:rsidR="00BE6A28" w:rsidRPr="00DE6EF1" w:rsidRDefault="00BE6A28" w:rsidP="00BE6A28">
      <w:pPr>
        <w:ind w:left="1440" w:hanging="1440"/>
        <w:contextualSpacing/>
        <w:rPr>
          <w:b/>
          <w:bCs/>
          <w:sz w:val="22"/>
          <w:u w:val="single"/>
        </w:rPr>
      </w:pPr>
    </w:p>
    <w:p w:rsidR="00DD0ADC" w:rsidRDefault="00DD0ADC"/>
    <w:sectPr w:rsidR="00DD0ADC" w:rsidSect="00BE6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1440" w:bottom="432" w:left="1440" w:header="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564B7">
      <w:r>
        <w:separator/>
      </w:r>
    </w:p>
  </w:endnote>
  <w:endnote w:type="continuationSeparator" w:id="0">
    <w:p w:rsidR="00000000" w:rsidRDefault="0085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71" w:rsidRDefault="008564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71" w:rsidRDefault="008564B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71" w:rsidRDefault="008564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564B7">
      <w:r>
        <w:separator/>
      </w:r>
    </w:p>
  </w:footnote>
  <w:footnote w:type="continuationSeparator" w:id="0">
    <w:p w:rsidR="00000000" w:rsidRDefault="00856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71" w:rsidRDefault="008564B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71" w:rsidRDefault="008564B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471" w:rsidRDefault="008564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A28"/>
    <w:rsid w:val="008564B7"/>
    <w:rsid w:val="00BE6A28"/>
    <w:rsid w:val="00DD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28"/>
    <w:pPr>
      <w:spacing w:after="0" w:line="240" w:lineRule="auto"/>
    </w:pPr>
    <w:rPr>
      <w:rFonts w:ascii="Times New Roman" w:eastAsia="MS PGothic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6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A28"/>
    <w:rPr>
      <w:rFonts w:ascii="Times New Roman" w:eastAsia="MS PGothic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BE6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A28"/>
    <w:rPr>
      <w:rFonts w:ascii="Times New Roman" w:eastAsia="MS PGothic" w:hAnsi="Times New Roman" w:cs="Times New Roman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28"/>
    <w:pPr>
      <w:spacing w:after="0" w:line="240" w:lineRule="auto"/>
    </w:pPr>
    <w:rPr>
      <w:rFonts w:ascii="Times New Roman" w:eastAsia="MS PGothic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E6A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6A28"/>
    <w:rPr>
      <w:rFonts w:ascii="Times New Roman" w:eastAsia="MS PGothic" w:hAnsi="Times New Roman" w:cs="Times New Roman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BE6A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6A28"/>
    <w:rPr>
      <w:rFonts w:ascii="Times New Roman" w:eastAsia="MS PGothic" w:hAnsi="Times New Roman" w:cs="Times New Roman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Green County User</dc:creator>
  <cp:lastModifiedBy>Tom Green County User</cp:lastModifiedBy>
  <cp:revision>2</cp:revision>
  <dcterms:created xsi:type="dcterms:W3CDTF">2016-05-19T16:37:00Z</dcterms:created>
  <dcterms:modified xsi:type="dcterms:W3CDTF">2016-06-01T20:14:00Z</dcterms:modified>
</cp:coreProperties>
</file>